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9E" w:rsidRPr="00F22644" w:rsidRDefault="00AF4E9E" w:rsidP="00B24C65">
      <w:pPr>
        <w:jc w:val="right"/>
        <w:rPr>
          <w:b/>
          <w:u w:val="single"/>
          <w:lang w:val="en-US"/>
        </w:rPr>
      </w:pPr>
    </w:p>
    <w:p w:rsidR="00B24C65" w:rsidRPr="00B24C65" w:rsidRDefault="00B24C65" w:rsidP="00B24C65">
      <w:pPr>
        <w:jc w:val="right"/>
        <w:rPr>
          <w:b/>
          <w:u w:val="single"/>
          <w:lang w:val="en-GB"/>
        </w:rPr>
      </w:pPr>
    </w:p>
    <w:p w:rsidR="00411A88" w:rsidRPr="001524AC" w:rsidRDefault="001524AC" w:rsidP="001524AC">
      <w:pPr>
        <w:pStyle w:val="Heading1"/>
        <w:tabs>
          <w:tab w:val="center" w:pos="4891"/>
          <w:tab w:val="left" w:pos="7737"/>
        </w:tabs>
        <w:spacing w:before="0"/>
        <w:rPr>
          <w:lang w:val="ru-RU"/>
        </w:rPr>
      </w:pPr>
      <w:r w:rsidRPr="001524AC">
        <w:t>Вътрешни правила за работа на Комитет</w:t>
      </w:r>
      <w:r w:rsidR="004E7994">
        <w:t>а за сътрудничество по п</w:t>
      </w:r>
      <w:r w:rsidRPr="001524AC">
        <w:t>рограма „Вътрешни работи“ по НФМ 2014-2021 г.</w:t>
      </w:r>
    </w:p>
    <w:p w:rsidR="00411A88" w:rsidRPr="001524AC" w:rsidRDefault="00411A88" w:rsidP="00411A88">
      <w:pPr>
        <w:pStyle w:val="Heading2"/>
        <w:spacing w:before="0"/>
        <w:rPr>
          <w:lang w:val="ru-RU"/>
        </w:rPr>
      </w:pPr>
    </w:p>
    <w:p w:rsidR="00983F2D" w:rsidRPr="001524AC" w:rsidRDefault="00983F2D" w:rsidP="00411A88">
      <w:pPr>
        <w:rPr>
          <w:lang w:val="ru-RU"/>
        </w:rPr>
      </w:pPr>
    </w:p>
    <w:p w:rsidR="00B041A6" w:rsidRPr="00BA2087" w:rsidRDefault="001524AC" w:rsidP="00BA2087">
      <w:pPr>
        <w:ind w:firstLine="851"/>
        <w:jc w:val="both"/>
      </w:pPr>
      <w:r w:rsidRPr="00BA2087">
        <w:t xml:space="preserve">В съответствие с член 4.4 от Регламента за </w:t>
      </w:r>
      <w:r w:rsidR="004E7994" w:rsidRPr="00BA2087">
        <w:t>изпълнение</w:t>
      </w:r>
      <w:r w:rsidRPr="00BA2087">
        <w:t xml:space="preserve"> на </w:t>
      </w:r>
      <w:r w:rsidR="004E7994" w:rsidRPr="00BA2087">
        <w:t xml:space="preserve">Норвежкия </w:t>
      </w:r>
      <w:r w:rsidRPr="00BA2087">
        <w:t xml:space="preserve">финансов механизъм за периода 2014-2021 г. Комитетът за сътрудничество </w:t>
      </w:r>
      <w:r w:rsidR="00BA2087" w:rsidRPr="00BA2087">
        <w:t>консултира</w:t>
      </w:r>
      <w:r w:rsidRPr="00BA2087">
        <w:t xml:space="preserve"> подготовката и изпълнението на </w:t>
      </w:r>
      <w:r w:rsidR="004E7994" w:rsidRPr="00BA2087">
        <w:t xml:space="preserve">програма </w:t>
      </w:r>
      <w:r w:rsidR="00BA2087">
        <w:t>„</w:t>
      </w:r>
      <w:r w:rsidR="004E7994" w:rsidRPr="00BA2087">
        <w:t>В</w:t>
      </w:r>
      <w:r w:rsidRPr="00BA2087">
        <w:t>ътрешни работи</w:t>
      </w:r>
      <w:r w:rsidR="00BA2087">
        <w:t>“</w:t>
      </w:r>
      <w:r w:rsidRPr="00BA2087">
        <w:t xml:space="preserve"> в България.</w:t>
      </w:r>
    </w:p>
    <w:p w:rsidR="004E7994" w:rsidRPr="001524AC" w:rsidRDefault="004E7994" w:rsidP="00450552">
      <w:pPr>
        <w:jc w:val="both"/>
        <w:rPr>
          <w:lang w:val="ru-RU"/>
        </w:rPr>
      </w:pPr>
    </w:p>
    <w:p w:rsidR="00B041A6" w:rsidRPr="00BA2087" w:rsidRDefault="001524AC" w:rsidP="00BA2087">
      <w:pPr>
        <w:pStyle w:val="Heading2"/>
      </w:pPr>
      <w:r w:rsidRPr="00BA2087">
        <w:t>Членове и наблюдатели на Комитета</w:t>
      </w:r>
    </w:p>
    <w:p w:rsidR="003058DC" w:rsidRPr="00BA2087" w:rsidRDefault="001524AC" w:rsidP="001524AC">
      <w:pPr>
        <w:pStyle w:val="ListParagraph"/>
        <w:numPr>
          <w:ilvl w:val="0"/>
          <w:numId w:val="4"/>
        </w:numPr>
        <w:jc w:val="both"/>
      </w:pPr>
      <w:r w:rsidRPr="00BA2087">
        <w:t xml:space="preserve">Комитетът за сътрудничество се състои от представители на Програмния оператор (Министерство на вътрешните работи на България), програмните партньори от страната донор (Национална </w:t>
      </w:r>
      <w:r w:rsidR="00BD091E" w:rsidRPr="00BA2087">
        <w:t xml:space="preserve">дирекция </w:t>
      </w:r>
      <w:r w:rsidR="00BD091E">
        <w:t>„</w:t>
      </w:r>
      <w:r w:rsidR="00BD091E" w:rsidRPr="00BA2087">
        <w:t>Полиц</w:t>
      </w:r>
      <w:r w:rsidR="00BD091E">
        <w:t>ия“</w:t>
      </w:r>
      <w:r w:rsidRPr="00BA2087">
        <w:t xml:space="preserve">, </w:t>
      </w:r>
      <w:r w:rsidR="00BD091E" w:rsidRPr="00BA2087">
        <w:t xml:space="preserve">норвежко </w:t>
      </w:r>
      <w:r w:rsidRPr="00BA2087">
        <w:t>Министерство на правосъдието и обществен</w:t>
      </w:r>
      <w:r w:rsidR="00BD091E">
        <w:t>ата</w:t>
      </w:r>
      <w:r w:rsidRPr="00BA2087">
        <w:t xml:space="preserve"> сигурност, Норвежка дирекция </w:t>
      </w:r>
      <w:r w:rsidR="00BD091E">
        <w:t>за</w:t>
      </w:r>
      <w:r w:rsidRPr="00BA2087">
        <w:t xml:space="preserve"> имиграция) и международната партньорска организация (Съвет на Европа).</w:t>
      </w:r>
    </w:p>
    <w:p w:rsidR="001524AC" w:rsidRPr="00BA2087" w:rsidRDefault="001524AC" w:rsidP="001524AC">
      <w:pPr>
        <w:pStyle w:val="ListParagraph"/>
        <w:numPr>
          <w:ilvl w:val="0"/>
          <w:numId w:val="4"/>
        </w:numPr>
        <w:jc w:val="both"/>
      </w:pPr>
      <w:r w:rsidRPr="00BA2087">
        <w:t xml:space="preserve">Представители на Националното координационно звено, Офиса на финансовия механизъм, Посолството на Кралство Норвегия в Букурещ и Програмният оператор на програма </w:t>
      </w:r>
      <w:r w:rsidR="00BA2087">
        <w:t>„</w:t>
      </w:r>
      <w:r w:rsidRPr="00BA2087">
        <w:t>Правосъдие</w:t>
      </w:r>
      <w:r w:rsidR="00BA2087">
        <w:t>“</w:t>
      </w:r>
      <w:r w:rsidRPr="00BA2087">
        <w:t xml:space="preserve"> в България (Министерство на правосъдието) участват в заседанията на Комитета за сътрудничество като наблюдатели.</w:t>
      </w:r>
    </w:p>
    <w:p w:rsidR="003058DC" w:rsidRPr="00BA2087" w:rsidRDefault="001524AC" w:rsidP="001524AC">
      <w:pPr>
        <w:pStyle w:val="ListParagraph"/>
        <w:numPr>
          <w:ilvl w:val="0"/>
          <w:numId w:val="4"/>
        </w:numPr>
        <w:jc w:val="both"/>
      </w:pPr>
      <w:r w:rsidRPr="00BA2087">
        <w:t xml:space="preserve">При необходимост членовете и наблюдателите на Комитета за сътрудничество могат да канят експерти и други заинтересовани </w:t>
      </w:r>
      <w:r w:rsidR="00BD091E">
        <w:t>лица</w:t>
      </w:r>
      <w:r w:rsidRPr="00BA2087">
        <w:t xml:space="preserve"> да присъстват на заседанията на Комитета</w:t>
      </w:r>
      <w:r w:rsidR="003058DC" w:rsidRPr="00BA2087">
        <w:t>.</w:t>
      </w:r>
    </w:p>
    <w:p w:rsidR="00220C47" w:rsidRPr="00BA2087" w:rsidRDefault="00220C47" w:rsidP="00B24C65">
      <w:pPr>
        <w:pStyle w:val="ListParagraph"/>
        <w:numPr>
          <w:ilvl w:val="0"/>
          <w:numId w:val="4"/>
        </w:numPr>
        <w:jc w:val="both"/>
      </w:pPr>
      <w:r w:rsidRPr="00BA2087">
        <w:t xml:space="preserve">Представителите на организациите по т. 1 и т. 2, които ще вземат участие в заседанията на </w:t>
      </w:r>
      <w:r w:rsidR="00BD091E" w:rsidRPr="00BA2087">
        <w:t>Комитета</w:t>
      </w:r>
      <w:r w:rsidRPr="00BA2087">
        <w:t>, могат да се променят и се определят непосредствено преди заседанието.</w:t>
      </w:r>
    </w:p>
    <w:p w:rsidR="00B041A6" w:rsidRPr="00B24C65" w:rsidRDefault="00B041A6" w:rsidP="003058DC">
      <w:pPr>
        <w:jc w:val="both"/>
        <w:rPr>
          <w:lang w:val="en-GB"/>
        </w:rPr>
      </w:pPr>
    </w:p>
    <w:p w:rsidR="00B041A6" w:rsidRPr="00B24C65" w:rsidRDefault="00474355" w:rsidP="00B041A6">
      <w:pPr>
        <w:jc w:val="center"/>
        <w:rPr>
          <w:lang w:val="en-GB"/>
        </w:rPr>
      </w:pPr>
      <w:r w:rsidRPr="00474355">
        <w:rPr>
          <w:rFonts w:eastAsiaTheme="majorEastAsia" w:cstheme="majorBidi"/>
          <w:b/>
          <w:bCs/>
          <w:color w:val="4F81BD" w:themeColor="accent1"/>
          <w:sz w:val="26"/>
          <w:szCs w:val="26"/>
        </w:rPr>
        <w:t>Организация и задачи на Комитета</w:t>
      </w:r>
    </w:p>
    <w:p w:rsidR="003058DC" w:rsidRPr="002D5BFA" w:rsidRDefault="00474355" w:rsidP="00474355">
      <w:pPr>
        <w:pStyle w:val="ListParagraph"/>
        <w:numPr>
          <w:ilvl w:val="0"/>
          <w:numId w:val="6"/>
        </w:numPr>
        <w:jc w:val="both"/>
      </w:pPr>
      <w:r w:rsidRPr="002D5BFA">
        <w:t>Комитетите за сътрудничество се председателстват от представител на Програмния оператор</w:t>
      </w:r>
      <w:r w:rsidR="003058DC" w:rsidRPr="002D5BFA">
        <w:t>.</w:t>
      </w:r>
    </w:p>
    <w:p w:rsidR="0001705E" w:rsidRPr="002D5BFA" w:rsidRDefault="00474355" w:rsidP="00474355">
      <w:pPr>
        <w:pStyle w:val="ListParagraph"/>
        <w:numPr>
          <w:ilvl w:val="0"/>
          <w:numId w:val="6"/>
        </w:numPr>
        <w:jc w:val="both"/>
      </w:pPr>
      <w:r w:rsidRPr="002D5BFA">
        <w:t>Съгласно Регламента за изпълнение на Норвежкия финансов механизъм за периода 2014-2021 г. задачите на Комитета за сътрудничество включват</w:t>
      </w:r>
      <w:r w:rsidR="0001705E" w:rsidRPr="002D5BFA">
        <w:t>: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а) </w:t>
      </w:r>
      <w:r w:rsidR="00474355" w:rsidRPr="002D5BFA">
        <w:t>Съдействие при провеждането на консултации със заинтересованите страни;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б) </w:t>
      </w:r>
      <w:r w:rsidR="00474355" w:rsidRPr="002D5BFA">
        <w:t>Консултиране при подготовката на идейните концепции;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lastRenderedPageBreak/>
        <w:t xml:space="preserve">в) </w:t>
      </w:r>
      <w:r w:rsidR="00474355" w:rsidRPr="002D5BFA">
        <w:t>Консултиране относно двустранни дейности и потенциални партньори от страната донор на проектно ниво;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г) </w:t>
      </w:r>
      <w:r w:rsidR="00474355" w:rsidRPr="002D5BFA">
        <w:t>Консултиране относно критериите за оценка и на текста на обявите за набиране на проектни предложения;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д) </w:t>
      </w:r>
      <w:r w:rsidR="00474355" w:rsidRPr="002D5BFA">
        <w:t>Преглед на постигнатия напредък в изпълнението на планираните програмни цели и резултати;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е) </w:t>
      </w:r>
      <w:r w:rsidR="00474355" w:rsidRPr="002D5BFA">
        <w:t>Преглед на постигнатия напредък в укрепването на двустранните отношения;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ж) </w:t>
      </w:r>
      <w:r w:rsidR="00474355" w:rsidRPr="002D5BFA">
        <w:t>Разглеждане на резултатите от изпълнението на програмата;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з) </w:t>
      </w:r>
      <w:r w:rsidR="00474355" w:rsidRPr="002D5BFA">
        <w:t>Преглед на проекта на годишни доклади по програмата;</w:t>
      </w:r>
    </w:p>
    <w:p w:rsidR="00474355" w:rsidRPr="002D5BFA" w:rsidRDefault="002D5BFA" w:rsidP="002D5BFA">
      <w:pPr>
        <w:pStyle w:val="ListParagraph"/>
        <w:ind w:left="360"/>
        <w:jc w:val="both"/>
      </w:pPr>
      <w:r>
        <w:t xml:space="preserve">и) </w:t>
      </w:r>
      <w:r w:rsidR="00474355" w:rsidRPr="002D5BFA">
        <w:t>Консултиране на ПО при изменения на програмата, засягащи постигането на очакваните цели и резултати на програмата;</w:t>
      </w:r>
    </w:p>
    <w:p w:rsidR="0001705E" w:rsidRPr="002D5BFA" w:rsidRDefault="002D5BFA" w:rsidP="002D5BFA">
      <w:pPr>
        <w:pStyle w:val="ListParagraph"/>
        <w:ind w:left="360"/>
        <w:jc w:val="both"/>
      </w:pPr>
      <w:r>
        <w:t xml:space="preserve">й) </w:t>
      </w:r>
      <w:r w:rsidR="00474355" w:rsidRPr="002D5BFA">
        <w:t>Консултиране относно използването на средствата за двустранни отношения</w:t>
      </w:r>
      <w:r w:rsidR="0001705E" w:rsidRPr="002D5BFA">
        <w:t>.</w:t>
      </w:r>
    </w:p>
    <w:p w:rsidR="00B041A6" w:rsidRPr="00F22644" w:rsidRDefault="00474355" w:rsidP="00474355">
      <w:pPr>
        <w:pStyle w:val="ListParagraph"/>
        <w:numPr>
          <w:ilvl w:val="0"/>
          <w:numId w:val="6"/>
        </w:numPr>
        <w:jc w:val="both"/>
        <w:rPr>
          <w:color w:val="000000" w:themeColor="text1"/>
        </w:rPr>
      </w:pPr>
      <w:r w:rsidRPr="002D5BFA">
        <w:t xml:space="preserve">Всички документи, представени и разработени от Комитета за сътрудничество, са на английски език. Заседанията на Комитета се </w:t>
      </w:r>
      <w:r w:rsidRPr="00F22644">
        <w:rPr>
          <w:color w:val="000000" w:themeColor="text1"/>
        </w:rPr>
        <w:t>провеждат на английски език</w:t>
      </w:r>
      <w:r w:rsidR="00B041A6" w:rsidRPr="00F22644">
        <w:rPr>
          <w:color w:val="000000" w:themeColor="text1"/>
        </w:rPr>
        <w:t>.</w:t>
      </w:r>
    </w:p>
    <w:p w:rsidR="00B041A6" w:rsidRPr="00F22644" w:rsidRDefault="00474355" w:rsidP="00474355">
      <w:pPr>
        <w:pStyle w:val="ListParagraph"/>
        <w:numPr>
          <w:ilvl w:val="0"/>
          <w:numId w:val="6"/>
        </w:numPr>
        <w:jc w:val="both"/>
        <w:rPr>
          <w:color w:val="000000" w:themeColor="text1"/>
        </w:rPr>
      </w:pPr>
      <w:r w:rsidRPr="00F22644">
        <w:rPr>
          <w:color w:val="000000" w:themeColor="text1"/>
        </w:rPr>
        <w:t>Комитетът за сътрудничество заседава най-малко два пъти годишно. Срещите се провеждат в Норвегия или в България. Срещи могат да бъдат организирани и в Страсбург</w:t>
      </w:r>
      <w:r w:rsidR="004C3907" w:rsidRPr="00F22644">
        <w:rPr>
          <w:color w:val="000000" w:themeColor="text1"/>
        </w:rPr>
        <w:t xml:space="preserve">. </w:t>
      </w:r>
    </w:p>
    <w:p w:rsidR="003058DC" w:rsidRPr="002D5BFA" w:rsidRDefault="00474355" w:rsidP="00474355">
      <w:pPr>
        <w:pStyle w:val="ListParagraph"/>
        <w:numPr>
          <w:ilvl w:val="0"/>
          <w:numId w:val="6"/>
        </w:numPr>
        <w:jc w:val="both"/>
      </w:pPr>
      <w:r w:rsidRPr="00F22644">
        <w:rPr>
          <w:color w:val="000000" w:themeColor="text1"/>
        </w:rPr>
        <w:t xml:space="preserve">Програмният оператор е отговорен за организирането на </w:t>
      </w:r>
      <w:r w:rsidRPr="002D5BFA">
        <w:t>срещите. Проектът на дневен ред и съответните документи за заседанието, както и необходимата проектна документация, се изпращат на членовете и наблюдателите на Комитета най-малко 10 дни преди срещата</w:t>
      </w:r>
      <w:r w:rsidR="003058DC" w:rsidRPr="002D5BFA">
        <w:t>.</w:t>
      </w:r>
      <w:r w:rsidR="00B041A6" w:rsidRPr="002D5BFA">
        <w:t xml:space="preserve"> </w:t>
      </w:r>
    </w:p>
    <w:p w:rsidR="003058DC" w:rsidRPr="002D5BFA" w:rsidRDefault="00474355" w:rsidP="00474355">
      <w:pPr>
        <w:pStyle w:val="ListParagraph"/>
        <w:numPr>
          <w:ilvl w:val="0"/>
          <w:numId w:val="6"/>
        </w:numPr>
        <w:jc w:val="both"/>
      </w:pPr>
      <w:r w:rsidRPr="002D5BFA">
        <w:t xml:space="preserve">Заседанията на Комитета се </w:t>
      </w:r>
      <w:r w:rsidR="002D5BFA" w:rsidRPr="002D5BFA">
        <w:t xml:space="preserve">записват в протокол, който се подготвя и изпраща до членовете и </w:t>
      </w:r>
      <w:r w:rsidR="00D97BBD" w:rsidRPr="002D5BFA">
        <w:t>наблюдателите</w:t>
      </w:r>
      <w:r w:rsidR="002D5BFA" w:rsidRPr="002D5BFA">
        <w:t xml:space="preserve"> за съгласуване. </w:t>
      </w:r>
    </w:p>
    <w:sectPr w:rsidR="003058DC" w:rsidRPr="002D5BFA" w:rsidSect="00EE7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A46" w:rsidRDefault="00D53A46" w:rsidP="00411A88">
      <w:pPr>
        <w:spacing w:after="0" w:line="240" w:lineRule="auto"/>
      </w:pPr>
      <w:r>
        <w:separator/>
      </w:r>
    </w:p>
  </w:endnote>
  <w:endnote w:type="continuationSeparator" w:id="0">
    <w:p w:rsidR="00D53A46" w:rsidRDefault="00D53A46" w:rsidP="0041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54F" w:rsidRDefault="002815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5320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5CD7" w:rsidRDefault="000A5C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5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5CD7" w:rsidRDefault="000A5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54F" w:rsidRDefault="00281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A46" w:rsidRDefault="00D53A46" w:rsidP="00411A88">
      <w:pPr>
        <w:spacing w:after="0" w:line="240" w:lineRule="auto"/>
      </w:pPr>
      <w:r>
        <w:separator/>
      </w:r>
    </w:p>
  </w:footnote>
  <w:footnote w:type="continuationSeparator" w:id="0">
    <w:p w:rsidR="00D53A46" w:rsidRDefault="00D53A46" w:rsidP="00411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54F" w:rsidRDefault="00281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BD091E" w:rsidTr="00BD091E">
      <w:tc>
        <w:tcPr>
          <w:tcW w:w="4606" w:type="dxa"/>
        </w:tcPr>
        <w:p w:rsidR="00BD091E" w:rsidRDefault="00BD091E" w:rsidP="00306741">
          <w:pPr>
            <w:pStyle w:val="Header"/>
            <w:ind w:left="-1410"/>
            <w:jc w:val="center"/>
            <w:rPr>
              <w:noProof/>
              <w:lang w:eastAsia="bg-BG"/>
            </w:rPr>
          </w:pPr>
        </w:p>
      </w:tc>
      <w:tc>
        <w:tcPr>
          <w:tcW w:w="4606" w:type="dxa"/>
        </w:tcPr>
        <w:p w:rsidR="00BD091E" w:rsidRDefault="00BD091E" w:rsidP="00306741">
          <w:pPr>
            <w:pStyle w:val="Header"/>
            <w:jc w:val="right"/>
            <w:rPr>
              <w:noProof/>
              <w:lang w:eastAsia="bg-BG"/>
            </w:rPr>
          </w:pPr>
          <w:r>
            <w:rPr>
              <w:noProof/>
              <w:lang w:eastAsia="bg-BG"/>
            </w:rPr>
            <w:t xml:space="preserve">Приложение </w:t>
          </w:r>
          <w:r w:rsidR="0049320D">
            <w:rPr>
              <w:noProof/>
              <w:lang w:eastAsia="bg-BG"/>
            </w:rPr>
            <w:t>2.</w:t>
          </w:r>
          <w:r>
            <w:rPr>
              <w:noProof/>
              <w:lang w:eastAsia="bg-BG"/>
            </w:rPr>
            <w:t>1, СУК НФМ 2014-2021</w:t>
          </w:r>
          <w:r w:rsidR="0028154F">
            <w:rPr>
              <w:i/>
            </w:rPr>
            <w:t>, Версия 3</w:t>
          </w:r>
          <w:bookmarkStart w:id="0" w:name="_GoBack"/>
          <w:bookmarkEnd w:id="0"/>
        </w:p>
        <w:p w:rsidR="00BD091E" w:rsidRDefault="00BD091E" w:rsidP="00306741">
          <w:pPr>
            <w:pStyle w:val="Header"/>
            <w:jc w:val="right"/>
            <w:rPr>
              <w:noProof/>
              <w:lang w:eastAsia="bg-BG"/>
            </w:rPr>
          </w:pPr>
        </w:p>
      </w:tc>
    </w:tr>
    <w:tr w:rsidR="00411A88" w:rsidTr="00BD091E">
      <w:tc>
        <w:tcPr>
          <w:tcW w:w="4606" w:type="dxa"/>
        </w:tcPr>
        <w:p w:rsidR="00411A88" w:rsidRDefault="00AF4E9E" w:rsidP="00306741">
          <w:pPr>
            <w:pStyle w:val="Header"/>
            <w:ind w:left="-1410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8FC1CD6" wp14:editId="0AEB0693">
                <wp:extent cx="850790" cy="727994"/>
                <wp:effectExtent l="0" t="0" r="698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699" cy="74075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</w:tcPr>
        <w:p w:rsidR="00411A88" w:rsidRDefault="00AF4E9E" w:rsidP="0030674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7567FE28" wp14:editId="318E2CAF">
                <wp:extent cx="670560" cy="73152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731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411A88" w:rsidRDefault="00411A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54F" w:rsidRDefault="00281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284"/>
    <w:multiLevelType w:val="hybridMultilevel"/>
    <w:tmpl w:val="C5468A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63BE"/>
    <w:multiLevelType w:val="hybridMultilevel"/>
    <w:tmpl w:val="253CE0C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60ECD"/>
    <w:multiLevelType w:val="hybridMultilevel"/>
    <w:tmpl w:val="1BF84D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425DE"/>
    <w:multiLevelType w:val="hybridMultilevel"/>
    <w:tmpl w:val="E8BC39D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145EE"/>
    <w:multiLevelType w:val="hybridMultilevel"/>
    <w:tmpl w:val="FCAC15A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D7597"/>
    <w:multiLevelType w:val="hybridMultilevel"/>
    <w:tmpl w:val="EFE60122"/>
    <w:lvl w:ilvl="0" w:tplc="7722F5B0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C6CDF"/>
    <w:multiLevelType w:val="hybridMultilevel"/>
    <w:tmpl w:val="155CAE6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266506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88"/>
    <w:rsid w:val="00004744"/>
    <w:rsid w:val="0001705E"/>
    <w:rsid w:val="00017FE8"/>
    <w:rsid w:val="00022814"/>
    <w:rsid w:val="000232DC"/>
    <w:rsid w:val="0003786F"/>
    <w:rsid w:val="00055176"/>
    <w:rsid w:val="000844B7"/>
    <w:rsid w:val="000A5CD7"/>
    <w:rsid w:val="000B5646"/>
    <w:rsid w:val="000C2EE2"/>
    <w:rsid w:val="000C7421"/>
    <w:rsid w:val="000F5968"/>
    <w:rsid w:val="00101C70"/>
    <w:rsid w:val="00117FB4"/>
    <w:rsid w:val="00131A78"/>
    <w:rsid w:val="001524AC"/>
    <w:rsid w:val="0018127C"/>
    <w:rsid w:val="00195014"/>
    <w:rsid w:val="001A58CE"/>
    <w:rsid w:val="001B5E19"/>
    <w:rsid w:val="001B7234"/>
    <w:rsid w:val="001C364D"/>
    <w:rsid w:val="001D0011"/>
    <w:rsid w:val="001D4CCC"/>
    <w:rsid w:val="001D7E44"/>
    <w:rsid w:val="00211FAF"/>
    <w:rsid w:val="0021449D"/>
    <w:rsid w:val="00220C47"/>
    <w:rsid w:val="00223A64"/>
    <w:rsid w:val="00265719"/>
    <w:rsid w:val="00270B95"/>
    <w:rsid w:val="002727E3"/>
    <w:rsid w:val="00273926"/>
    <w:rsid w:val="0028154F"/>
    <w:rsid w:val="002B41F6"/>
    <w:rsid w:val="002C31F9"/>
    <w:rsid w:val="002D5BFA"/>
    <w:rsid w:val="002E52F6"/>
    <w:rsid w:val="002E6D03"/>
    <w:rsid w:val="00304D4D"/>
    <w:rsid w:val="003058DC"/>
    <w:rsid w:val="003132EB"/>
    <w:rsid w:val="00335DE7"/>
    <w:rsid w:val="00336865"/>
    <w:rsid w:val="00351168"/>
    <w:rsid w:val="003646D5"/>
    <w:rsid w:val="003926F8"/>
    <w:rsid w:val="003A1219"/>
    <w:rsid w:val="003A48A2"/>
    <w:rsid w:val="003B6220"/>
    <w:rsid w:val="003D03CA"/>
    <w:rsid w:val="003E1E7B"/>
    <w:rsid w:val="00411A88"/>
    <w:rsid w:val="00414353"/>
    <w:rsid w:val="004248FF"/>
    <w:rsid w:val="0042622C"/>
    <w:rsid w:val="00435003"/>
    <w:rsid w:val="00450552"/>
    <w:rsid w:val="00454EDE"/>
    <w:rsid w:val="004655B8"/>
    <w:rsid w:val="00471EE4"/>
    <w:rsid w:val="00474355"/>
    <w:rsid w:val="004756BC"/>
    <w:rsid w:val="004769F5"/>
    <w:rsid w:val="0049320D"/>
    <w:rsid w:val="0049767D"/>
    <w:rsid w:val="004C3907"/>
    <w:rsid w:val="004E7994"/>
    <w:rsid w:val="005010F4"/>
    <w:rsid w:val="0050478E"/>
    <w:rsid w:val="00530A0B"/>
    <w:rsid w:val="00543E42"/>
    <w:rsid w:val="005D4462"/>
    <w:rsid w:val="005E57B0"/>
    <w:rsid w:val="005E7733"/>
    <w:rsid w:val="005F3C11"/>
    <w:rsid w:val="00604AD8"/>
    <w:rsid w:val="00606F1E"/>
    <w:rsid w:val="00635C8F"/>
    <w:rsid w:val="00636736"/>
    <w:rsid w:val="00642716"/>
    <w:rsid w:val="00664BE2"/>
    <w:rsid w:val="00677B11"/>
    <w:rsid w:val="006B06D7"/>
    <w:rsid w:val="006B0FBC"/>
    <w:rsid w:val="006F09FB"/>
    <w:rsid w:val="006F4BF8"/>
    <w:rsid w:val="006F63E5"/>
    <w:rsid w:val="00715A0B"/>
    <w:rsid w:val="00742E80"/>
    <w:rsid w:val="007561A9"/>
    <w:rsid w:val="007617FE"/>
    <w:rsid w:val="0077599F"/>
    <w:rsid w:val="007B26CF"/>
    <w:rsid w:val="007C3625"/>
    <w:rsid w:val="007C3995"/>
    <w:rsid w:val="00804ECC"/>
    <w:rsid w:val="00813C22"/>
    <w:rsid w:val="0085477A"/>
    <w:rsid w:val="00884045"/>
    <w:rsid w:val="00894A95"/>
    <w:rsid w:val="00896FD3"/>
    <w:rsid w:val="008B5171"/>
    <w:rsid w:val="008B5C5F"/>
    <w:rsid w:val="008D2BD0"/>
    <w:rsid w:val="008D703D"/>
    <w:rsid w:val="008F4685"/>
    <w:rsid w:val="00930101"/>
    <w:rsid w:val="00983F2D"/>
    <w:rsid w:val="009D7187"/>
    <w:rsid w:val="00A24A45"/>
    <w:rsid w:val="00A51278"/>
    <w:rsid w:val="00A531CE"/>
    <w:rsid w:val="00A54EFD"/>
    <w:rsid w:val="00A75112"/>
    <w:rsid w:val="00A87013"/>
    <w:rsid w:val="00AA30B9"/>
    <w:rsid w:val="00AC5C85"/>
    <w:rsid w:val="00AF4E9E"/>
    <w:rsid w:val="00AF6701"/>
    <w:rsid w:val="00B041A6"/>
    <w:rsid w:val="00B17356"/>
    <w:rsid w:val="00B2278D"/>
    <w:rsid w:val="00B24C65"/>
    <w:rsid w:val="00B547E9"/>
    <w:rsid w:val="00B6476B"/>
    <w:rsid w:val="00B97457"/>
    <w:rsid w:val="00B97834"/>
    <w:rsid w:val="00BA2087"/>
    <w:rsid w:val="00BA3971"/>
    <w:rsid w:val="00BB0E23"/>
    <w:rsid w:val="00BD091E"/>
    <w:rsid w:val="00BD7112"/>
    <w:rsid w:val="00C06481"/>
    <w:rsid w:val="00C14009"/>
    <w:rsid w:val="00C40F04"/>
    <w:rsid w:val="00C53034"/>
    <w:rsid w:val="00C554C0"/>
    <w:rsid w:val="00C71E31"/>
    <w:rsid w:val="00C84940"/>
    <w:rsid w:val="00CA628C"/>
    <w:rsid w:val="00CB10AA"/>
    <w:rsid w:val="00CD16AC"/>
    <w:rsid w:val="00CD51D4"/>
    <w:rsid w:val="00CD6D62"/>
    <w:rsid w:val="00CE0835"/>
    <w:rsid w:val="00D01FB9"/>
    <w:rsid w:val="00D1264F"/>
    <w:rsid w:val="00D1760F"/>
    <w:rsid w:val="00D2795B"/>
    <w:rsid w:val="00D34245"/>
    <w:rsid w:val="00D47FDB"/>
    <w:rsid w:val="00D53A46"/>
    <w:rsid w:val="00D67965"/>
    <w:rsid w:val="00D86B91"/>
    <w:rsid w:val="00D97BBD"/>
    <w:rsid w:val="00DE4279"/>
    <w:rsid w:val="00E230EC"/>
    <w:rsid w:val="00E23FA2"/>
    <w:rsid w:val="00E30C32"/>
    <w:rsid w:val="00E7123D"/>
    <w:rsid w:val="00E71D34"/>
    <w:rsid w:val="00E85BA0"/>
    <w:rsid w:val="00E93A0D"/>
    <w:rsid w:val="00EA78E3"/>
    <w:rsid w:val="00EC2161"/>
    <w:rsid w:val="00EE4533"/>
    <w:rsid w:val="00EE7BFE"/>
    <w:rsid w:val="00EF074E"/>
    <w:rsid w:val="00EF4F2F"/>
    <w:rsid w:val="00F00DF9"/>
    <w:rsid w:val="00F07F3F"/>
    <w:rsid w:val="00F22644"/>
    <w:rsid w:val="00F65F79"/>
    <w:rsid w:val="00F73DA5"/>
    <w:rsid w:val="00F9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89722A-B827-4207-9641-CDC900B7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08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087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2087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88"/>
  </w:style>
  <w:style w:type="paragraph" w:styleId="Footer">
    <w:name w:val="footer"/>
    <w:basedOn w:val="Normal"/>
    <w:link w:val="FooterChar"/>
    <w:uiPriority w:val="99"/>
    <w:unhideWhenUsed/>
    <w:rsid w:val="00411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88"/>
  </w:style>
  <w:style w:type="table" w:styleId="TableGrid">
    <w:name w:val="Table Grid"/>
    <w:basedOn w:val="TableNormal"/>
    <w:uiPriority w:val="59"/>
    <w:rsid w:val="0041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8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A2087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A2087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table" w:styleId="LightShading-Accent5">
    <w:name w:val="Light Shading Accent 5"/>
    <w:basedOn w:val="TableNormal"/>
    <w:uiPriority w:val="60"/>
    <w:rsid w:val="00543E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">
    <w:name w:val="Light Shading"/>
    <w:basedOn w:val="TableNormal"/>
    <w:uiPriority w:val="60"/>
    <w:rsid w:val="00543E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D16A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51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Rositsa Gavazova</dc:creator>
  <cp:lastModifiedBy>Alexander T. Dragovsky</cp:lastModifiedBy>
  <cp:revision>11</cp:revision>
  <cp:lastPrinted>2017-06-07T08:11:00Z</cp:lastPrinted>
  <dcterms:created xsi:type="dcterms:W3CDTF">2018-09-20T10:25:00Z</dcterms:created>
  <dcterms:modified xsi:type="dcterms:W3CDTF">2020-06-16T08:29:00Z</dcterms:modified>
</cp:coreProperties>
</file>